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eremiah-22"/>
    <w:p>
      <w:pPr>
        <w:pStyle w:val="Heading1"/>
      </w:pPr>
      <w:r>
        <w:t xml:space="preserve">Homiletics Analysis: Jeremiah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Component of Jeremiah’s Prophetic Corpus (Jeremiah 21–24)</w:t>
      </w:r>
    </w:p>
    <w:p>
      <w:pPr>
        <w:pStyle w:val="BodyText"/>
      </w:pPr>
      <w:r>
        <w:t xml:space="preserve">Jeremiah 22 belongs to a concentrated block of royal oracle material spanning chapters 21–24, in which the LORD turns His prosecutorial attention specifically to the house of David — the monarchy as an institution, and the individual kings as covenant officers. Chapter 21 opens the sequence with Zedekiah’s futile inquiry and the LORD’s stunning answer: He Himself will fight against Jerusalem. Chapter 23 will expand outward to the shepherds of Israel collectively and then pivot to the promise of the righteous Branch. Chapter 24 will resolve the sequence with the vision of the two baskets of figs, separating the exiles from those who remain. Jeremiah 22 is the documentary heart of this block — a sustained prophetic trial of the Davidic dynasty, examining each of Josiah’s successors in turn and rendering a verdict on each.</w:t>
      </w:r>
    </w:p>
    <w:p>
      <w:pPr>
        <w:pStyle w:val="BodyText"/>
      </w:pPr>
      <w:r>
        <w:rPr>
          <w:b/>
          <w:bCs/>
        </w:rPr>
        <w:t xml:space="preserve">This Text — Content</w:t>
      </w:r>
    </w:p>
    <w:p>
      <w:pPr>
        <w:pStyle w:val="BodyText"/>
      </w:pPr>
      <w:r>
        <w:t xml:space="preserve">The chapter opens with a command to the reigning king to go down to the palace and hear the word of the LORD (vv. 1–2). What follows is a covenant ultimatum: if the king executes justice and righteousness — caring for the oppressed, the alien, the fatherless, and the widow, and shedding no innocent blood — the Davidic dynasty will continue in perpetuity (vv. 3–4). If not, the palace will become a desolation (vv. 5–7). A brief interlude imagines nations asking why Jerusalem was destroyed and receives the answer: because they abandoned the LORD’s covenant (vv. 8–9). Then follow three specific royal indictments. Shallum (Jehoahaz), who was taken to Egypt and never returned, is mourned (vv. 10–12). Jehoiakim is charged directly and at length: he built his palace by unrighteousness, using forced labor without wages, competing with cedar, refusing to know the LORD — and is contrasted sharply with his father Josiah, who did justice and so knew the LORD (vv. 13–19). Finally, Coniah (Jehoiachin) is declared a despised, broken vessel, to be hurled into exile in Babylon, his line cut off from the throne of David (vv. 24–30). Between these royal indictments, Jerusalem herself is addressed — called to wail for her coming desolation (vv. 20–23). The chapter ends not with hope but with a genealogical severance: write this man down as childless, for none of his offspring shall sit on David’s throne.</w:t>
      </w:r>
    </w:p>
    <w:p>
      <w:pPr>
        <w:pStyle w:val="BodyText"/>
      </w:pPr>
      <w:r>
        <w:rPr>
          <w:b/>
          <w:bCs/>
        </w:rPr>
        <w:t xml:space="preserve">This Text — Intent</w:t>
      </w:r>
    </w:p>
    <w:p>
      <w:pPr>
        <w:pStyle w:val="BodyText"/>
      </w:pPr>
      <w:r>
        <w:t xml:space="preserve">God is doing two things simultaneously in this chapter, and both must be held in view. First, He is demonstrating covenant accountability at the highest level of human society. The king is not above the covenant — the king is the covenant’s most visible officer, and the most visible in his failure. Second, He is dismantling false security — the complacent assumption that the Davidic dynasty’s permanence was unconditional, that Jerusalem’s election guaranteed her protection regardless of faithfulness. The intent of this passage is to strip the reader of every earthly anchor that substitutes for genuine covenant loyalty, and to demonstrate that when those anchors fail — and they will fail — it is not the failure of God but the consequence of covenant abandonment. The passage is also quietly preparing the reader for the righteous Branch of chapter 23: by the time every Davidic king has been indicted, the reader is ready to receive the one King who will not fail. Jeremiah 22 thus produces a deep homiletical longing:</w:t>
      </w:r>
      <w:r>
        <w:t xml:space="preserve"> </w:t>
      </w:r>
      <w:r>
        <w:rPr>
          <w:i/>
          <w:iCs/>
        </w:rPr>
        <w:t xml:space="preserve">if not these kings, then who?</w:t>
      </w:r>
    </w:p>
    <w:p>
      <w:r>
        <w:pict>
          <v:rect style="width:0;height:1.5pt" o:hralign="center" o:hrstd="t" o:hr="t"/>
        </w:pict>
      </w:r>
    </w:p>
    <w:p>
      <w:pPr>
        <w:pStyle w:val="FirstParagraph"/>
      </w:pPr>
      <w:r>
        <w:rPr>
          <w:b/>
          <w:bCs/>
        </w:rPr>
        <w:t xml:space="preserve">Subject Sentence:</w:t>
      </w:r>
      <w:r>
        <w:t xml:space="preserve"> </w:t>
      </w:r>
      <w:r>
        <w:t xml:space="preserve">The Davidic kings stand indicted for covenant faithlessness — justice abandoned, false security exposed, dynasty dismantled.</w:t>
      </w:r>
    </w:p>
    <w:p>
      <w:r>
        <w:pict>
          <v:rect style="width:0;height:1.5pt" o:hralign="center" o:hrstd="t" o:hr="t"/>
        </w:pict>
      </w:r>
    </w:p>
    <w:p>
      <w:pPr>
        <w:pStyle w:val="FirstParagraph"/>
      </w:pPr>
      <w:r>
        <w:rPr>
          <w:b/>
          <w:bCs/>
        </w:rPr>
        <w:t xml:space="preserve">Primary Claim:</w:t>
      </w:r>
      <w:r>
        <w:t xml:space="preserve"> </w:t>
      </w:r>
      <w:r>
        <w:t xml:space="preserve">God is demonstrating that no human institution — however divinely established, however historically privileged — is exempt from covenant accountability; and He is calling His people to place their full security in Him alone, not in the permanence of earthly structures He Himself has ordained.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Conditional Covenant Offer (vv. 1–9)</w:t>
      </w:r>
    </w:p>
    <w:p>
      <w:pPr>
        <w:pStyle w:val="BodyText"/>
      </w:pPr>
      <w:r>
        <w:t xml:space="preserve">The opening section presents what appears to be a genuine conditional offer to the reigning king: obey, and the dynasty continues; disobey, and the palace becomes a desolation. Arminian and some Baptist interpreters emphasize the conditional structure here as evidence of genuine divine responsiveness to human choice — God genuinely intends the</w:t>
      </w:r>
      <w:r>
        <w:t xml:space="preserve"> </w:t>
      </w:r>
      <w:r>
        <w:t xml:space="preserve">“if/then”</w:t>
      </w:r>
      <w:r>
        <w:t xml:space="preserve"> </w:t>
      </w:r>
      <w:r>
        <w:t xml:space="preserve">as an open offer, not a rhetorical device whose outcome is already determined. This reading is worth acknowledging in part: the text is presenting a real moral demand, not a puppet show. The prophetic</w:t>
      </w:r>
      <w:r>
        <w:t xml:space="preserve"> </w:t>
      </w:r>
      <w:r>
        <w:t xml:space="preserve">“if/then”</w:t>
      </w:r>
      <w:r>
        <w:t xml:space="preserve"> </w:t>
      </w:r>
      <w:r>
        <w:t xml:space="preserve">language throughout the OT (cf. Deut. 28; Jer. 7) is not merely performative. God genuinely called these kings to account as covenant officers.</w:t>
      </w:r>
    </w:p>
    <w:p>
      <w:pPr>
        <w:pStyle w:val="BodyText"/>
      </w:pPr>
      <w:r>
        <w:t xml:space="preserve">However, the Reformed reading — which must be judged the stronger — recognizes that by the time Jeremiah delivers these oracles, the context of chapters 21 and the broader Deuteronomistic history makes clear that the Davidic house has already passed the point of national return. The conditional is not therefore insincere; it is the standard of covenant righteousness being restated so that the judgment that follows cannot be charged to God. The</w:t>
      </w:r>
      <w:r>
        <w:t xml:space="preserve"> </w:t>
      </w:r>
      <w:r>
        <w:t xml:space="preserve">“if/then”</w:t>
      </w:r>
      <w:r>
        <w:t xml:space="preserve"> </w:t>
      </w:r>
      <w:r>
        <w:t xml:space="preserve">does real moral work even when the</w:t>
      </w:r>
      <w:r>
        <w:t xml:space="preserve"> </w:t>
      </w:r>
      <w:r>
        <w:t xml:space="preserve">“if”</w:t>
      </w:r>
      <w:r>
        <w:t xml:space="preserve"> </w:t>
      </w:r>
      <w:r>
        <w:t xml:space="preserve">is not met — it establishes what justice required and thus convicts the kings who refused it. The Reformed reading holds both: genuine covenant demand and sovereign foreknowledge of its refusal.</w:t>
      </w:r>
    </w:p>
    <w:p>
      <w:pPr>
        <w:pStyle w:val="BodyText"/>
      </w:pPr>
      <w:r>
        <w:rPr>
          <w:b/>
          <w:bCs/>
        </w:rPr>
        <w:t xml:space="preserve">Josiah Contrast and the Definition of Knowing God (vv. 15–16)</w:t>
      </w:r>
    </w:p>
    <w:p>
      <w:pPr>
        <w:pStyle w:val="BodyText"/>
      </w:pPr>
      <w:r>
        <w:t xml:space="preserve">The famous line —</w:t>
      </w:r>
      <w:r>
        <w:t xml:space="preserve"> </w:t>
      </w:r>
      <w:r>
        <w:t xml:space="preserve">“He judged the cause of the poor and needy… Is not this to know me? declares the LORD”</w:t>
      </w:r>
      <w:r>
        <w:t xml:space="preserve"> </w:t>
      </w:r>
      <w:r>
        <w:t xml:space="preserve">— has generated significant interpretive divergence. Some liberationist and progressive readings use this verse as a charter for reducing the knowledge of God to social praxis: knowing God</w:t>
      </w:r>
      <w:r>
        <w:t xml:space="preserve"> </w:t>
      </w:r>
      <w:r>
        <w:rPr>
          <w:i/>
          <w:iCs/>
        </w:rPr>
        <w:t xml:space="preserve">just is</w:t>
      </w:r>
      <w:r>
        <w:t xml:space="preserve"> </w:t>
      </w:r>
      <w:r>
        <w:t xml:space="preserve">doing justice, so that any genuine justice-doing, regardless of theological confession, constitutes knowing God. This reading should be refuted as overreaching the text. The verse does not define knowing God exhaustively as doing justice — it demonstrates that Josiah’s justice was</w:t>
      </w:r>
      <w:r>
        <w:t xml:space="preserve"> </w:t>
      </w:r>
      <w:r>
        <w:rPr>
          <w:i/>
          <w:iCs/>
        </w:rPr>
        <w:t xml:space="preserve">evidence</w:t>
      </w:r>
      <w:r>
        <w:t xml:space="preserve"> </w:t>
      </w:r>
      <w:r>
        <w:t xml:space="preserve">of his knowing God, not its definition. The broader canon (cf. Jer. 9:23–24; John 17:3; Phil. 3:8–10) makes clear that knowing God is covenantal and relational in nature; justice is its necessary fruit, not its equivalent. To reduce</w:t>
      </w:r>
      <w:r>
        <w:t xml:space="preserve"> </w:t>
      </w:r>
      <w:r>
        <w:t xml:space="preserve">“knowing God”</w:t>
      </w:r>
      <w:r>
        <w:t xml:space="preserve"> </w:t>
      </w:r>
      <w:r>
        <w:t xml:space="preserve">to social action evacuates the passage’s own covenantal framework.</w:t>
      </w:r>
    </w:p>
    <w:p>
      <w:pPr>
        <w:pStyle w:val="BodyText"/>
      </w:pPr>
      <w:r>
        <w:t xml:space="preserve">The Reformed reading retains the passage’s full force: Josiah’s justice was not merely a civic virtue but a covenant response — he judged the poor</w:t>
      </w:r>
      <w:r>
        <w:t xml:space="preserve"> </w:t>
      </w:r>
      <w:r>
        <w:rPr>
          <w:i/>
          <w:iCs/>
        </w:rPr>
        <w:t xml:space="preserve">because</w:t>
      </w:r>
      <w:r>
        <w:t xml:space="preserve"> </w:t>
      </w:r>
      <w:r>
        <w:t xml:space="preserve">he walked with the LORD, and his walking with the LORD</w:t>
      </w:r>
      <w:r>
        <w:t xml:space="preserve"> </w:t>
      </w:r>
      <w:r>
        <w:rPr>
          <w:i/>
          <w:iCs/>
        </w:rPr>
        <w:t xml:space="preserve">showed itself</w:t>
      </w:r>
      <w:r>
        <w:t xml:space="preserve"> </w:t>
      </w:r>
      <w:r>
        <w:t xml:space="preserve">in how he treated the poor. The indictment of Jehoiakim is therefore not merely ethical; it is theological. His injustice to his laborers is evidence that he did not know the LORD, not merely that he was a bad ruler.</w:t>
      </w:r>
    </w:p>
    <w:p>
      <w:pPr>
        <w:pStyle w:val="BodyText"/>
      </w:pPr>
      <w:r>
        <w:rPr>
          <w:b/>
          <w:bCs/>
        </w:rPr>
        <w:t xml:space="preserve">Coniah’s</w:t>
      </w:r>
      <w:r>
        <w:rPr>
          <w:b/>
          <w:bCs/>
        </w:rPr>
        <w:t xml:space="preserve"> </w:t>
      </w:r>
      <w:r>
        <w:rPr>
          <w:b/>
          <w:bCs/>
        </w:rPr>
        <w:t xml:space="preserve">“Childless”</w:t>
      </w:r>
      <w:r>
        <w:rPr>
          <w:b/>
          <w:bCs/>
        </w:rPr>
        <w:t xml:space="preserve"> </w:t>
      </w:r>
      <w:r>
        <w:rPr>
          <w:b/>
          <w:bCs/>
        </w:rPr>
        <w:t xml:space="preserve">Curse and Genealogical Fulfillment (v. 30)</w:t>
      </w:r>
    </w:p>
    <w:p>
      <w:pPr>
        <w:pStyle w:val="BodyText"/>
      </w:pPr>
      <w:r>
        <w:t xml:space="preserve">The declaration that Coniah (Jehoiachin) should be</w:t>
      </w:r>
      <w:r>
        <w:t xml:space="preserve"> </w:t>
      </w:r>
      <w:r>
        <w:t xml:space="preserve">“written as childless”</w:t>
      </w:r>
      <w:r>
        <w:t xml:space="preserve"> </w:t>
      </w:r>
      <w:r>
        <w:t xml:space="preserve">— since no descendant of his would sit on the throne of David — presents an apparent difficulty when set alongside Matthew 1:11–12, which traces Jesus’ Davidic lineage through Jeconiah (Jehoiachin). Dispensational interpreters sometimes resolve this through the dual-genealogy argument (Matthew through Joseph; Luke through Mary), with Jesus receiving the Davidic claim through Mary’s line (bypassing the Coniah curse) while the royal legal claim through Joseph is rendered moot by the virgin birth. This is worth acknowledging as a historically significant solution.</w:t>
      </w:r>
    </w:p>
    <w:p>
      <w:pPr>
        <w:pStyle w:val="BodyText"/>
      </w:pPr>
      <w:r>
        <w:t xml:space="preserve">The Reformed reading tends to see a deeper resolution: the text says none of his offspring</w:t>
      </w:r>
      <w:r>
        <w:t xml:space="preserve"> </w:t>
      </w:r>
      <w:r>
        <w:t xml:space="preserve">“shall sit upon the throne of David and rule again in Judah.”</w:t>
      </w:r>
      <w:r>
        <w:t xml:space="preserve"> </w:t>
      </w:r>
      <w:r>
        <w:t xml:space="preserve">This is precisely fulfilled — no biological descendant of Coniah ever again ruled Judah as a conventional earthly monarch. Jesus’ kingship is of a fundamentally different order (cf. Luke 1:32–33; Acts 2:30–36), which the Coniah judgment does not touch. The virgin birth simultaneously fulfills the Davidic promise (through the legal lineage) and transcends the Coniah limitation (through Mary). The text thus does not create a contradiction — it creates the precise theological conditions that the Incarnation resolves. This is among the most striking examples in the canon of how prophetic judgment and gospel promise inhabit the same genealogical line.</w:t>
      </w:r>
    </w:p>
    <w:p>
      <w:pPr>
        <w:pStyle w:val="BodyText"/>
      </w:pPr>
      <w:r>
        <w:rPr>
          <w:b/>
          <w:bCs/>
        </w:rPr>
        <w:t xml:space="preserve">Moralistic Reading of the Josiah/Jehoiakim Contrast</w:t>
      </w:r>
    </w:p>
    <w:p>
      <w:pPr>
        <w:pStyle w:val="BodyText"/>
      </w:pPr>
      <w:r>
        <w:t xml:space="preserve">A common homiletical error — addressed more fully in Preaching Pitfalls below — is to read the Josiah/Jehoiakim contrast as a moralistic paradigm:</w:t>
      </w:r>
      <w:r>
        <w:t xml:space="preserve"> </w:t>
      </w:r>
      <w:r>
        <w:t xml:space="preserve">“Be like Josiah; don’t be like Jehoiakim.”</w:t>
      </w:r>
      <w:r>
        <w:t xml:space="preserve"> </w:t>
      </w:r>
      <w:r>
        <w:t xml:space="preserve">This is the Clowney anti-moralism warning in direct application. The text is not offering Josiah as a model of civic virtue to be imitated — it is using Josiah’s faithfulness to indict Jehoiakim’s apostasy and to establish the covenant standard that the kings had been given and refused. The passage’s intent is not to produce better rulers but to strip false security from Israel and to convict those who relied on dynastic permanence rather than covenant faithfulness.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17:14–20</w:t>
      </w:r>
      <w:r>
        <w:t xml:space="preserve"> </w:t>
      </w:r>
      <w:r>
        <w:t xml:space="preserve">— The law of the king: the king is a covenant officer, subject to the Torah, not above it. Jeremiah 22 is the prosecution based on this statute. The kings are not failing a general moral standard but a specific covenant obligation laid out in the founding documents.</w:t>
      </w:r>
    </w:p>
    <w:p>
      <w:pPr>
        <w:numPr>
          <w:ilvl w:val="0"/>
          <w:numId w:val="1001"/>
        </w:numPr>
      </w:pPr>
      <w:r>
        <w:rPr>
          <w:b/>
          <w:bCs/>
        </w:rPr>
        <w:t xml:space="preserve">2 Samuel 7:12–16 / Psalm 89:30–37</w:t>
      </w:r>
      <w:r>
        <w:t xml:space="preserve"> </w:t>
      </w:r>
      <w:r>
        <w:t xml:space="preserve">— The Davidic covenant includes both the unconditional promise of David’s enduring house and the conditional warning of discipline for covenant faithlessness. Jeremiah 22 is the discipline clause of 2 Samuel 7 being executed. Psalm 89:38–51 is the anguished recognition that this has happened — the LORD has</w:t>
      </w:r>
      <w:r>
        <w:t xml:space="preserve"> </w:t>
      </w:r>
      <w:r>
        <w:t xml:space="preserve">“cast off and rejected”</w:t>
      </w:r>
      <w:r>
        <w:t xml:space="preserve"> </w:t>
      </w:r>
      <w:r>
        <w:t xml:space="preserve">His anointed.</w:t>
      </w:r>
    </w:p>
    <w:p>
      <w:pPr>
        <w:numPr>
          <w:ilvl w:val="0"/>
          <w:numId w:val="1001"/>
        </w:numPr>
      </w:pPr>
      <w:r>
        <w:rPr>
          <w:b/>
          <w:bCs/>
        </w:rPr>
        <w:t xml:space="preserve">Jeremiah 9:23–24</w:t>
      </w:r>
      <w:r>
        <w:t xml:space="preserve"> </w:t>
      </w:r>
      <w:r>
        <w:t xml:space="preserve">— The LORD’s own summary of what He delights in: steadfast love, justice, and righteousness in the earth. This passage establishes the theological content behind the Josiah/Jehoiakim contrast in chapter 22 and grounds the</w:t>
      </w:r>
      <w:r>
        <w:t xml:space="preserve"> </w:t>
      </w:r>
      <w:r>
        <w:t xml:space="preserve">“knowing God”</w:t>
      </w:r>
      <w:r>
        <w:t xml:space="preserve"> </w:t>
      </w:r>
      <w:r>
        <w:t xml:space="preserve">language of v. 16.</w:t>
      </w:r>
    </w:p>
    <w:p>
      <w:pPr>
        <w:numPr>
          <w:ilvl w:val="0"/>
          <w:numId w:val="1001"/>
        </w:numPr>
      </w:pPr>
      <w:r>
        <w:rPr>
          <w:b/>
          <w:bCs/>
        </w:rPr>
        <w:t xml:space="preserve">Matthew 1:11–12 / Luke 3:27</w:t>
      </w:r>
      <w:r>
        <w:t xml:space="preserve"> </w:t>
      </w:r>
      <w:r>
        <w:t xml:space="preserve">— The genealogies that run through the exilic period — including Jeconiah — demonstrate that God’s redemptive purposes were not terminated by the dynastic severance of Jeremiah 22. The line that was</w:t>
      </w:r>
      <w:r>
        <w:t xml:space="preserve"> </w:t>
      </w:r>
      <w:r>
        <w:t xml:space="preserve">“written as childless”</w:t>
      </w:r>
      <w:r>
        <w:t xml:space="preserve"> </w:t>
      </w:r>
      <w:r>
        <w:t xml:space="preserve">for kingly succession becomes the line through which the true King arrives.</w:t>
      </w:r>
    </w:p>
    <w:p>
      <w:pPr>
        <w:numPr>
          <w:ilvl w:val="0"/>
          <w:numId w:val="1001"/>
        </w:numPr>
      </w:pPr>
      <w:r>
        <w:rPr>
          <w:b/>
          <w:bCs/>
        </w:rPr>
        <w:t xml:space="preserve">Luke 1:31–33 / Acts 2:29–36</w:t>
      </w:r>
      <w:r>
        <w:t xml:space="preserve"> </w:t>
      </w:r>
      <w:r>
        <w:t xml:space="preserve">— The angel’s promise to Mary and Peter’s Pentecost proclamation together establish that Jesus is the Davidic heir Jeremiah 22 could not produce from within the existing dynasty. The chapter’s terminal judgment on the human kings is the prophetic void that the Incarnation fills.</w:t>
      </w:r>
    </w:p>
    <w:p>
      <w:r>
        <w:pict>
          <v:rect style="width:0;height:1.5pt" o:hralign="center" o:hrstd="t" o:hr="t"/>
        </w:pict>
      </w:r>
    </w:p>
    <w:p>
      <w:pPr>
        <w:pStyle w:val="FirstParagraph"/>
      </w:pPr>
      <w:r>
        <w:rPr>
          <w:b/>
          <w:bCs/>
        </w:rPr>
        <w:t xml:space="preserve">Aim:</w:t>
      </w:r>
      <w:r>
        <w:t xml:space="preserve"> </w:t>
      </w:r>
      <w:r>
        <w:t xml:space="preserve">To demonstrate through the indictment of Jerusalem’s kings that every earthly security structure — however divinely established — is subject to covenant accountability, and to call the reader to the kind of covenant loyalty that neither builds on false foundations nor awaits a human deliverer.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commands Jeremiah to go to the house of the king and deliver His word</w:t>
            </w:r>
          </w:p>
        </w:tc>
        <w:tc>
          <w:tcPr/>
          <w:p>
            <w:pPr>
              <w:pStyle w:val="Compact"/>
            </w:pPr>
            <w:r>
              <w:t xml:space="preserve">The king and all his officials are summoned as an audience — this is a public, formal oracle</w:t>
            </w:r>
          </w:p>
        </w:tc>
      </w:tr>
      <w:tr>
        <w:tc>
          <w:tcPr/>
          <w:p>
            <w:pPr>
              <w:pStyle w:val="Compact"/>
            </w:pPr>
            <w:r>
              <w:t xml:space="preserve">3</w:t>
            </w:r>
          </w:p>
        </w:tc>
        <w:tc>
          <w:tcPr/>
          <w:p>
            <w:pPr>
              <w:pStyle w:val="Compact"/>
            </w:pPr>
            <w:r>
              <w:t xml:space="preserve">The covenant demand: execute justice and righteousness; deliver the oppressed; do no violence to the stranger, fatherless, or widow; shed no innocent blood</w:t>
            </w:r>
          </w:p>
        </w:tc>
        <w:tc>
          <w:tcPr/>
          <w:p>
            <w:pPr>
              <w:pStyle w:val="Compact"/>
            </w:pPr>
            <w:r>
              <w:t xml:space="preserve">This is not a new standard — it mirrors Deuteronomy 17 and the Mosaic ethical requirements for the nation’s ruler</w:t>
            </w:r>
          </w:p>
        </w:tc>
      </w:tr>
      <w:tr>
        <w:tc>
          <w:tcPr/>
          <w:p>
            <w:pPr>
              <w:pStyle w:val="Compact"/>
            </w:pPr>
            <w:r>
              <w:t xml:space="preserve">4–5</w:t>
            </w:r>
          </w:p>
        </w:tc>
        <w:tc>
          <w:tcPr/>
          <w:p>
            <w:pPr>
              <w:pStyle w:val="Compact"/>
            </w:pPr>
            <w:r>
              <w:t xml:space="preserve">The conditional: obedience means the dynasty continues; disobedience means the palace becomes a desolation</w:t>
            </w:r>
          </w:p>
        </w:tc>
        <w:tc>
          <w:tcPr/>
          <w:p>
            <w:pPr>
              <w:pStyle w:val="Compact"/>
            </w:pPr>
            <w:r>
              <w:t xml:space="preserve">The</w:t>
            </w:r>
            <w:r>
              <w:t xml:space="preserve"> </w:t>
            </w:r>
            <w:r>
              <w:t xml:space="preserve">“if/then”</w:t>
            </w:r>
            <w:r>
              <w:t xml:space="preserve"> </w:t>
            </w:r>
            <w:r>
              <w:t xml:space="preserve">structure is covenant ultimatum, not open negotiation</w:t>
            </w:r>
          </w:p>
        </w:tc>
      </w:tr>
      <w:tr>
        <w:tc>
          <w:tcPr/>
          <w:p>
            <w:pPr>
              <w:pStyle w:val="Compact"/>
            </w:pPr>
            <w:r>
              <w:t xml:space="preserve">6–7</w:t>
            </w:r>
          </w:p>
        </w:tc>
        <w:tc>
          <w:tcPr/>
          <w:p>
            <w:pPr>
              <w:pStyle w:val="Compact"/>
            </w:pPr>
            <w:r>
              <w:t xml:space="preserve">The palace compared to Gilead and Lebanon — majestic, but will be made a wilderness; sanctioned destroyers prepared</w:t>
            </w:r>
          </w:p>
        </w:tc>
        <w:tc>
          <w:tcPr/>
          <w:p>
            <w:pPr>
              <w:pStyle w:val="Compact"/>
            </w:pPr>
            <w:r>
              <w:t xml:space="preserve">The LORD has already prepared the instruments of judgment</w:t>
            </w:r>
          </w:p>
        </w:tc>
      </w:tr>
      <w:tr>
        <w:tc>
          <w:tcPr/>
          <w:p>
            <w:pPr>
              <w:pStyle w:val="Compact"/>
            </w:pPr>
            <w:r>
              <w:t xml:space="preserve">8–9</w:t>
            </w:r>
          </w:p>
        </w:tc>
        <w:tc>
          <w:tcPr/>
          <w:p>
            <w:pPr>
              <w:pStyle w:val="Compact"/>
            </w:pPr>
            <w:r>
              <w:t xml:space="preserve">Nations will ask why Jerusalem was destroyed; the answer: they forsook the LORD’s covenant</w:t>
            </w:r>
          </w:p>
        </w:tc>
        <w:tc>
          <w:tcPr/>
          <w:p>
            <w:pPr>
              <w:pStyle w:val="Compact"/>
            </w:pPr>
            <w:r>
              <w:t xml:space="preserve">The coming desolation will be self-explanatory to the nations — a covenant explanation, not a political one</w:t>
            </w:r>
          </w:p>
        </w:tc>
      </w:tr>
      <w:tr>
        <w:tc>
          <w:tcPr/>
          <w:p>
            <w:pPr>
              <w:pStyle w:val="Compact"/>
            </w:pPr>
            <w:r>
              <w:t xml:space="preserve">10–12</w:t>
            </w:r>
          </w:p>
        </w:tc>
        <w:tc>
          <w:tcPr/>
          <w:p>
            <w:pPr>
              <w:pStyle w:val="Compact"/>
            </w:pPr>
            <w:r>
              <w:t xml:space="preserve">Lament for Shallum (Jehoahaz): do not weep for the dead (Josiah) but for the one who goes away — he will die in exile, never to return</w:t>
            </w:r>
          </w:p>
        </w:tc>
        <w:tc>
          <w:tcPr/>
          <w:p>
            <w:pPr>
              <w:pStyle w:val="Compact"/>
            </w:pPr>
            <w:r>
              <w:t xml:space="preserve">Josiah died in battle; Jehoahaz was deported to Egypt by Pharaoh Necho (2 Kings 23:31–34). The greater grief is exile, not death</w:t>
            </w:r>
          </w:p>
        </w:tc>
      </w:tr>
      <w:tr>
        <w:tc>
          <w:tcPr/>
          <w:p>
            <w:pPr>
              <w:pStyle w:val="Compact"/>
            </w:pPr>
            <w:r>
              <w:t xml:space="preserve">13–14</w:t>
            </w:r>
          </w:p>
        </w:tc>
        <w:tc>
          <w:tcPr/>
          <w:p>
            <w:pPr>
              <w:pStyle w:val="Compact"/>
            </w:pPr>
            <w:r>
              <w:t xml:space="preserve">Woe oracle against Jehoiakim: he built his house by unrighteousness and injustice, using forced labor without wages</w:t>
            </w:r>
          </w:p>
        </w:tc>
        <w:tc>
          <w:tcPr/>
          <w:p>
            <w:pPr>
              <w:pStyle w:val="Compact"/>
            </w:pPr>
            <w:r>
              <w:t xml:space="preserve">Jehoiakim’s building projects — his primary preoccupation — become the evidence of his covenant betrayal</w:t>
            </w:r>
          </w:p>
        </w:tc>
      </w:tr>
      <w:tr>
        <w:tc>
          <w:tcPr/>
          <w:p>
            <w:pPr>
              <w:pStyle w:val="Compact"/>
            </w:pPr>
            <w:r>
              <w:t xml:space="preserve">15–17</w:t>
            </w:r>
          </w:p>
        </w:tc>
        <w:tc>
          <w:tcPr/>
          <w:p>
            <w:pPr>
              <w:pStyle w:val="Compact"/>
            </w:pPr>
            <w:r>
              <w:t xml:space="preserve">Contrast with Josiah: Josiah ate and drank and did justice and righteousness — this is to know God; Jehoiakim’s eyes and heart are only for dishonest gain, violence, and oppression</w:t>
            </w:r>
          </w:p>
        </w:tc>
        <w:tc>
          <w:tcPr/>
          <w:p>
            <w:pPr>
              <w:pStyle w:val="Compact"/>
            </w:pPr>
            <w:r>
              <w:t xml:space="preserve">The most theologically dense verses in the chapter —</w:t>
            </w:r>
            <w:r>
              <w:t xml:space="preserve"> </w:t>
            </w:r>
            <w:r>
              <w:t xml:space="preserve">“knowing God”</w:t>
            </w:r>
            <w:r>
              <w:t xml:space="preserve"> </w:t>
            </w:r>
            <w:r>
              <w:t xml:space="preserve">defined by its covenant fruit</w:t>
            </w:r>
          </w:p>
        </w:tc>
      </w:tr>
      <w:tr>
        <w:tc>
          <w:tcPr/>
          <w:p>
            <w:pPr>
              <w:pStyle w:val="Compact"/>
            </w:pPr>
            <w:r>
              <w:t xml:space="preserve">18–19</w:t>
            </w:r>
          </w:p>
        </w:tc>
        <w:tc>
          <w:tcPr/>
          <w:p>
            <w:pPr>
              <w:pStyle w:val="Compact"/>
            </w:pPr>
            <w:r>
              <w:t xml:space="preserve">Jehoiakim’s fate: no one will mourn him; he will be buried with the burial of a donkey, dragged and dumped outside Jerusalem</w:t>
            </w:r>
          </w:p>
        </w:tc>
        <w:tc>
          <w:tcPr/>
          <w:p>
            <w:pPr>
              <w:pStyle w:val="Compact"/>
            </w:pPr>
            <w:r>
              <w:t xml:space="preserve">In the ancient world, proper burial was a covenant of honor; its denial signals his total repudiation</w:t>
            </w:r>
          </w:p>
        </w:tc>
      </w:tr>
      <w:tr>
        <w:tc>
          <w:tcPr/>
          <w:p>
            <w:pPr>
              <w:pStyle w:val="Compact"/>
            </w:pPr>
            <w:r>
              <w:t xml:space="preserve">20–23</w:t>
            </w:r>
          </w:p>
        </w:tc>
        <w:tc>
          <w:tcPr/>
          <w:p>
            <w:pPr>
              <w:pStyle w:val="Compact"/>
            </w:pPr>
            <w:r>
              <w:t xml:space="preserve">Jerusalem summoned to wail from her heights; her shepherds and lovers are gone; pain like that of a woman in labor will come upon those who dwelt in Lebanon</w:t>
            </w:r>
          </w:p>
        </w:tc>
        <w:tc>
          <w:tcPr/>
          <w:p>
            <w:pPr>
              <w:pStyle w:val="Compact"/>
            </w:pPr>
            <w:r>
              <w:t xml:space="preserve">Jerusalem personified as a woman whose false alliances have collapsed; the imagery shifts to communal grief</w:t>
            </w:r>
          </w:p>
        </w:tc>
      </w:tr>
      <w:tr>
        <w:tc>
          <w:tcPr/>
          <w:p>
            <w:pPr>
              <w:pStyle w:val="Compact"/>
            </w:pPr>
            <w:r>
              <w:t xml:space="preserve">24–27</w:t>
            </w:r>
          </w:p>
        </w:tc>
        <w:tc>
          <w:tcPr/>
          <w:p>
            <w:pPr>
              <w:pStyle w:val="Compact"/>
            </w:pPr>
            <w:r>
              <w:t xml:space="preserve">Coniah (Jehoiachin) declared: even if he were a signet ring on the LORD’s right hand, He would tear him off; he will be given to Nebuchadnezzar and hurled into exile</w:t>
            </w:r>
          </w:p>
        </w:tc>
        <w:tc>
          <w:tcPr/>
          <w:p>
            <w:pPr>
              <w:pStyle w:val="Compact"/>
            </w:pPr>
            <w:r>
              <w:t xml:space="preserve">The</w:t>
            </w:r>
            <w:r>
              <w:t xml:space="preserve"> </w:t>
            </w:r>
            <w:r>
              <w:t xml:space="preserve">“signet ring”</w:t>
            </w:r>
            <w:r>
              <w:t xml:space="preserve"> </w:t>
            </w:r>
            <w:r>
              <w:t xml:space="preserve">metaphor intensifies the reversal — the highest symbol of royal delegated authority is discarded</w:t>
            </w:r>
          </w:p>
        </w:tc>
      </w:tr>
      <w:tr>
        <w:tc>
          <w:tcPr/>
          <w:p>
            <w:pPr>
              <w:pStyle w:val="Compact"/>
            </w:pPr>
            <w:r>
              <w:t xml:space="preserve">28–29</w:t>
            </w:r>
          </w:p>
        </w:tc>
        <w:tc>
          <w:tcPr/>
          <w:p>
            <w:pPr>
              <w:pStyle w:val="Compact"/>
            </w:pPr>
            <w:r>
              <w:t xml:space="preserve">A rhetorical lament: is Coniah a despised, broken vessel? Why are he and his children hurled into a land they do not know? The earth called to hear.</w:t>
            </w:r>
          </w:p>
        </w:tc>
        <w:tc>
          <w:tcPr/>
          <w:p>
            <w:pPr>
              <w:pStyle w:val="Compact"/>
            </w:pPr>
            <w:r>
              <w:t xml:space="preserve">The triple call (</w:t>
            </w:r>
            <w:r>
              <w:t xml:space="preserve">“O land, land, land”</w:t>
            </w:r>
            <w:r>
              <w:t xml:space="preserve">) intensifies the solemnity — a judgment oracle of maximum weight</w:t>
            </w:r>
          </w:p>
        </w:tc>
      </w:tr>
      <w:tr>
        <w:tc>
          <w:tcPr/>
          <w:p>
            <w:pPr>
              <w:pStyle w:val="Compact"/>
            </w:pPr>
            <w:r>
              <w:t xml:space="preserve">30</w:t>
            </w:r>
          </w:p>
        </w:tc>
        <w:tc>
          <w:tcPr/>
          <w:p>
            <w:pPr>
              <w:pStyle w:val="Compact"/>
            </w:pPr>
            <w:r>
              <w:t xml:space="preserve">The decree: write this man as childless, for none of his offspring shall sit on the throne of David and rule in Judah</w:t>
            </w:r>
          </w:p>
        </w:tc>
        <w:tc>
          <w:tcPr/>
          <w:p>
            <w:pPr>
              <w:pStyle w:val="Compact"/>
            </w:pPr>
            <w:r>
              <w:t xml:space="preserve">The genealogical severance — the Davidic line as a political dynasty is effectively closed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Covenant Standard: What the King Was Required to Be</w:t>
            </w:r>
          </w:p>
        </w:tc>
      </w:tr>
      <w:tr>
        <w:tc>
          <w:tcPr/>
          <w:p>
            <w:pPr>
              <w:pStyle w:val="Compact"/>
            </w:pPr>
            <w:r>
              <w:t xml:space="preserve">2</w:t>
            </w:r>
          </w:p>
        </w:tc>
        <w:tc>
          <w:tcPr/>
          <w:p>
            <w:pPr>
              <w:pStyle w:val="Compact"/>
            </w:pPr>
            <w:r>
              <w:t xml:space="preserve">10–12</w:t>
            </w:r>
          </w:p>
        </w:tc>
        <w:tc>
          <w:tcPr/>
          <w:p>
            <w:pPr>
              <w:pStyle w:val="Compact"/>
            </w:pPr>
            <w:r>
              <w:t xml:space="preserve">First Verdict: Shallum (Jehoahaz) — The King Who Never Returned</w:t>
            </w:r>
          </w:p>
        </w:tc>
      </w:tr>
      <w:tr>
        <w:tc>
          <w:tcPr/>
          <w:p>
            <w:pPr>
              <w:pStyle w:val="Compact"/>
            </w:pPr>
            <w:r>
              <w:t xml:space="preserve">3</w:t>
            </w:r>
          </w:p>
        </w:tc>
        <w:tc>
          <w:tcPr/>
          <w:p>
            <w:pPr>
              <w:pStyle w:val="Compact"/>
            </w:pPr>
            <w:r>
              <w:t xml:space="preserve">13–19</w:t>
            </w:r>
          </w:p>
        </w:tc>
        <w:tc>
          <w:tcPr/>
          <w:p>
            <w:pPr>
              <w:pStyle w:val="Compact"/>
            </w:pPr>
            <w:r>
              <w:t xml:space="preserve">Second Verdict: Jehoiakim — The King Who Built by Blood</w:t>
            </w:r>
          </w:p>
        </w:tc>
      </w:tr>
      <w:tr>
        <w:tc>
          <w:tcPr/>
          <w:p>
            <w:pPr>
              <w:pStyle w:val="Compact"/>
            </w:pPr>
            <w:r>
              <w:t xml:space="preserve">4</w:t>
            </w:r>
          </w:p>
        </w:tc>
        <w:tc>
          <w:tcPr/>
          <w:p>
            <w:pPr>
              <w:pStyle w:val="Compact"/>
            </w:pPr>
            <w:r>
              <w:t xml:space="preserve">20–23</w:t>
            </w:r>
          </w:p>
        </w:tc>
        <w:tc>
          <w:tcPr/>
          <w:p>
            <w:pPr>
              <w:pStyle w:val="Compact"/>
            </w:pPr>
            <w:r>
              <w:t xml:space="preserve">Interlude: Jerusalem Called to Wail — The Shepherds Have Failed</w:t>
            </w:r>
          </w:p>
        </w:tc>
      </w:tr>
      <w:tr>
        <w:tc>
          <w:tcPr/>
          <w:p>
            <w:pPr>
              <w:pStyle w:val="Compact"/>
            </w:pPr>
            <w:r>
              <w:t xml:space="preserve">5</w:t>
            </w:r>
          </w:p>
        </w:tc>
        <w:tc>
          <w:tcPr/>
          <w:p>
            <w:pPr>
              <w:pStyle w:val="Compact"/>
            </w:pPr>
            <w:r>
              <w:t xml:space="preserve">24–30</w:t>
            </w:r>
          </w:p>
        </w:tc>
        <w:tc>
          <w:tcPr/>
          <w:p>
            <w:pPr>
              <w:pStyle w:val="Compact"/>
            </w:pPr>
            <w:r>
              <w:t xml:space="preserve">Third Verdict: Coniah (Jehoiachin) — The Signet Ring Torn Off</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Davidic kings stand indicted for covenant faithlessness — justice abandoned, false security exposed, dynasty dismantled.</w:t>
      </w:r>
    </w:p>
    <w:p>
      <w:pPr>
        <w:pStyle w:val="BodyText"/>
      </w:pPr>
      <w:r>
        <w:rPr>
          <w:b/>
          <w:bCs/>
        </w:rPr>
        <w:t xml:space="preserve">Primary Claim:</w:t>
      </w:r>
      <w:r>
        <w:t xml:space="preserve"> </w:t>
      </w:r>
      <w:r>
        <w:t xml:space="preserve">God is demonstrating that no human institution — however divinely established, however historically privileged — is exempt from covenant accountability; and He is calling His people to place their full security in Him alone, not in the permanence of earthly structures He Himself has ordained.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believe God is obligated to sustain because He once established it.</w:t>
      </w:r>
      <w:r>
        <w:t xml:space="preserve"> </w:t>
      </w:r>
      <w:r>
        <w:rPr>
          <w:i/>
          <w:iCs/>
        </w:rPr>
        <w:t xml:space="preserve">(Mind/Belief)</w:t>
      </w:r>
      <w:r>
        <w:t xml:space="preserve"> </w:t>
      </w:r>
      <w:r>
        <w:t xml:space="preserve">The people of Jerusalem believed the Davidic dynasty was permanent because God had promised it. They were not wrong about the promise — they were catastrophically wrong about its conditionality. Many Christians carry a version of this error: a church tradition, a family heritage of faith, a denominational institution, a ministry organization — treated as if God’s prior blessing has made it immune to accountability. Jeremiah 22 will not allow that comfort. God established the Davidic house; God also dismantled it when it betrayed the covenant it was created to serve. No institution is exempt — including the ones you are most attached to — and the reader who grasps this is freed from misplaced institutional loyalty.</w:t>
      </w:r>
    </w:p>
    <w:p>
      <w:pPr>
        <w:pStyle w:val="BodyText"/>
      </w:pPr>
      <w:r>
        <w:rPr>
          <w:b/>
          <w:bCs/>
        </w:rPr>
        <w:t xml:space="preserve">2. Let the Josiah/Jehoiakim contrast diagnose whether you</w:t>
      </w:r>
      <w:r>
        <w:rPr>
          <w:b/>
          <w:bCs/>
        </w:rPr>
        <w:t xml:space="preserve"> </w:t>
      </w:r>
      <w:r>
        <w:rPr>
          <w:b/>
          <w:bCs/>
        </w:rPr>
        <w:t xml:space="preserve">“know God”</w:t>
      </w:r>
      <w:r>
        <w:rPr>
          <w:b/>
          <w:bCs/>
        </w:rPr>
        <w:t xml:space="preserve"> </w:t>
      </w:r>
      <w:r>
        <w:rPr>
          <w:b/>
          <w:bCs/>
        </w:rPr>
        <w:t xml:space="preserve">by the condition of those beneath your care.</w:t>
      </w:r>
      <w:r>
        <w:t xml:space="preserve"> </w:t>
      </w:r>
      <w:r>
        <w:rPr>
          <w:i/>
          <w:iCs/>
        </w:rPr>
        <w:t xml:space="preserve">(Affections/Worship)</w:t>
      </w:r>
      <w:r>
        <w:t xml:space="preserve"> </w:t>
      </w:r>
      <w:r>
        <w:t xml:space="preserve">Verse 16 is one of the most searching diagnostic questions in the entire canon:</w:t>
      </w:r>
      <w:r>
        <w:t xml:space="preserve"> </w:t>
      </w:r>
      <w:r>
        <w:t xml:space="preserve">“Is not this to know me, declares the LORD?”</w:t>
      </w:r>
      <w:r>
        <w:t xml:space="preserve"> </w:t>
      </w:r>
      <w:r>
        <w:t xml:space="preserve">Josiah’s knowing God was visible in his treatment of the poor, the alien, and the vulnerable. Jehoiakim’s not knowing God was visible in his treatment of his own laborers. The text does not allow</w:t>
      </w:r>
      <w:r>
        <w:t xml:space="preserve"> </w:t>
      </w:r>
      <w:r>
        <w:t xml:space="preserve">“knowing God”</w:t>
      </w:r>
      <w:r>
        <w:t xml:space="preserve"> </w:t>
      </w:r>
      <w:r>
        <w:t xml:space="preserve">to be an interior spiritual claim that produces no social evidence. The reader should sit with the question: what does the condition of those beneath my authority — my employees, my household, my neighbors, those with no power over me — reveal about my actual relationship with God? This is not moralism; it is covenant diagnostics. The fruit of genuine worship is justice. Where justice is absent, the question of whether God is genuinely known must be asked.</w:t>
      </w:r>
    </w:p>
    <w:p>
      <w:pPr>
        <w:pStyle w:val="BodyText"/>
      </w:pPr>
      <w:r>
        <w:rPr>
          <w:b/>
          <w:bCs/>
        </w:rPr>
        <w:t xml:space="preserve">3. Renounce every functional savior you have constructed from what God has legitimately given you.</w:t>
      </w:r>
      <w:r>
        <w:t xml:space="preserve"> </w:t>
      </w:r>
      <w:r>
        <w:rPr>
          <w:i/>
          <w:iCs/>
        </w:rPr>
        <w:t xml:space="preserve">(Affections/Worship)</w:t>
      </w:r>
      <w:r>
        <w:t xml:space="preserve"> </w:t>
      </w:r>
      <w:r>
        <w:t xml:space="preserve">The people of Jerusalem took a genuine gift of God — the Davidic dynasty, the Solomonic temple, the election of the city — and converted those gifts into guarantees of divine protection regardless of covenant faithfulness. This is idol-construction from sacred material, and it is among the most sophisticated and dangerous forms of false trust. Contemporary readers do the same: a sound theological tradition, a faithful local church, a heritage of Christian parents, a record of past spiritual experience — these genuine gifts of God become functional guarantors, substituting for present covenant loyalty. Jeremiah 22 calls the reader to grieve the loss of every such anchor, not because the gifts were bad, but because they were never meant to bear the weight of ultimate security.</w:t>
      </w:r>
    </w:p>
    <w:p>
      <w:pPr>
        <w:pStyle w:val="BodyText"/>
      </w:pPr>
      <w:r>
        <w:rPr>
          <w:b/>
          <w:bCs/>
        </w:rPr>
        <w:t xml:space="preserve">4. Practice the specific justice that your position of power makes possible.</w:t>
      </w:r>
      <w:r>
        <w:t xml:space="preserve"> </w:t>
      </w:r>
      <w:r>
        <w:rPr>
          <w:i/>
          <w:iCs/>
        </w:rPr>
        <w:t xml:space="preserve">(Will/Behavior)</w:t>
      </w:r>
      <w:r>
        <w:t xml:space="preserve"> </w:t>
      </w:r>
      <w:r>
        <w:t xml:space="preserve">Jehoiakim’s sin was not generic wickedness — it was the specific abuse of power his position placed in his hands. He had laborers; he refused to pay them. He had building capacity; he used it for self-glorification. He had judicial authority; he used it to shed innocent blood and practice oppression. The indictment is position-specific. The application is therefore position-specific: the reader should identify the specific forms of justice their position makes possible — the employee they could pay fairly, the subordinate whose grievance they could hear, the vulnerable person their authority could protect — and pursue those specifically. Vague commitments to</w:t>
      </w:r>
      <w:r>
        <w:t xml:space="preserve"> </w:t>
      </w:r>
      <w:r>
        <w:t xml:space="preserve">“do justice”</w:t>
      </w:r>
      <w:r>
        <w:t xml:space="preserve"> </w:t>
      </w:r>
      <w:r>
        <w:t xml:space="preserve">are not what the text demands. The text demands the particular forms of justice that your particular power makes available.</w:t>
      </w:r>
    </w:p>
    <w:p>
      <w:pPr>
        <w:pStyle w:val="BodyText"/>
      </w:pPr>
      <w:r>
        <w:rPr>
          <w:b/>
          <w:bCs/>
        </w:rPr>
        <w:t xml:space="preserve">5. Place your hope in the King whom Jeremiah 22 could not produce — the One who fulfills what these kings failed.</w:t>
      </w:r>
      <w:r>
        <w:t xml:space="preserve"> </w:t>
      </w:r>
      <w:r>
        <w:rPr>
          <w:i/>
          <w:iCs/>
        </w:rPr>
        <w:t xml:space="preserve">(Mind/Belief)</w:t>
      </w:r>
      <w:r>
        <w:t xml:space="preserve"> </w:t>
      </w:r>
      <w:r>
        <w:t xml:space="preserve">The chapter ends in desolation: write this man as childless, for his line is done. And yet Matthew 1 runs the genealogy through Jeconiah — through the very line this chapter closes. The point is not that God failed to keep His promise; the point is that God kept it by a means no one within the chapter could have imagined. The King who sits on David’s throne is not a product of the dynasty’s continuation — He is the one who arrives after the dynasty has been dismantled, vindicating the promise by transcending the curse. The reader who has absorbed the full weight of Jeremiah 22’s indictment is now prepared to receive Christ not merely as a religious option but as the only answer to the question the chapter poses:</w:t>
      </w:r>
      <w:r>
        <w:t xml:space="preserve"> </w:t>
      </w:r>
      <w:r>
        <w:rPr>
          <w:i/>
          <w:iCs/>
        </w:rPr>
        <w:t xml:space="preserve">if not these kings, then who?</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Jeremiah 22 establishes that divine election and covenant accountability are not in competition but are coextensive. The Davidic house was genuinely chosen, genuinely privileged, and genuinely promised an enduring future — and it was genuinely held accountable for its covenant betrayal. The passage teaches that God’s promises do not override His justice; rather, the same holiness that grounds His promises also demands that those who bear them live in accordance with what those promises represent. The chapter also reveals what the LORD considers the most damning evidence of spiritual failure: not ritual impurity or theological error, but the treatment of the powerless by those with power. Knowing God — in the full covenantal sense — produces justice as its necessary and visible fruit. Where that fruit is absent, the knowledge of God is absent, regardless of what is professed.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sustained illustration of the covenant structure that lies at the heart of Reformed theology: conditional within unconditional. The Davidic covenant is unconditional in its ultimate terminus — God will have a Son of David on the throne — but conditional in its administration through any particular king or generation. Reformed covenant theology holds these two together without collapsing them: the election of the Davidic house does not guarantee every Davidic king; but the failure of every Davidic king does not annul the covenant promise. This is the structure of the whole covenant of grace — secured by divine oath, administered through human faithfulness, maintained sovereignly when human faithfulness fails. Jeremiah 22 is also a canonical illustration of what Calvin and the Reformed tradition mean by the</w:t>
      </w:r>
      <w:r>
        <w:t xml:space="preserve"> </w:t>
      </w:r>
      <w:r>
        <w:t xml:space="preserve">“use of the law”</w:t>
      </w:r>
      <w:r>
        <w:t xml:space="preserve">: the covenant standard stated in verses 3–5 does not produce the king who meets it; it convicts every king who refuses it and thereby prepares the community to receive the One who will meet it perfectly and representatively. The chapter thus functions as a preacher of the gospel before the gospel has arrived.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No king in this chapter survived his own indictment — not Shallum, not Jehoiakim, not Coniah. God built the dynasty; God dismantled it; and He was just in both. The lesson is not that God changes His mind — it is that He means what He says, at every level of human society, including the highest. Stop trusting what God has given you as if the giving were a guarantee. Start living in the covenant faithfulness that the giving was always meant to produce — and when you find you cannot, look for the King who comes after the dynasty fails, the one who carries the line through the curse and out the other side.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Josiah/Jehoiakim contrast to moralism.</w:t>
      </w:r>
      <w:r>
        <w:t xml:space="preserve"> </w:t>
      </w:r>
      <w:r>
        <w:t xml:space="preserve">This is the most common homiletical failure with this chapter. The contrast is presented in order to establish what the covenant required and to convict Jehoiakim of failing it — not to give the congregation a role model to imitate. Preaching</w:t>
      </w:r>
      <w:r>
        <w:t xml:space="preserve"> </w:t>
      </w:r>
      <w:r>
        <w:t xml:space="preserve">“be like Josiah”</w:t>
      </w:r>
      <w:r>
        <w:t xml:space="preserve"> </w:t>
      </w:r>
      <w:r>
        <w:t xml:space="preserve">misses the chapter’s own movement: the point is not that there was one good king worth imitating; the point is that even the best king’s faithfulness only serves to expose how far the others have fallen, and that the whole dynasty is in the dock. The application must be gospel-shaped: not</w:t>
      </w:r>
      <w:r>
        <w:t xml:space="preserve"> </w:t>
      </w:r>
      <w:r>
        <w:t xml:space="preserve">“be like Josiah”</w:t>
      </w:r>
      <w:r>
        <w:t xml:space="preserve"> </w:t>
      </w:r>
      <w:r>
        <w:t xml:space="preserve">but</w:t>
      </w:r>
      <w:r>
        <w:t xml:space="preserve"> </w:t>
      </w:r>
      <w:r>
        <w:t xml:space="preserve">“recognize that the justice Josiah embodied imperfectly is the justice that only one King will ever perfectly fulfill.”</w:t>
      </w:r>
    </w:p>
    <w:p>
      <w:pPr>
        <w:numPr>
          <w:ilvl w:val="0"/>
          <w:numId w:val="1002"/>
        </w:numPr>
      </w:pPr>
      <w:r>
        <w:rPr>
          <w:b/>
          <w:bCs/>
        </w:rPr>
        <w:t xml:space="preserve">Spiritualizing away the socioeconomic concreteness of the text.</w:t>
      </w:r>
      <w:r>
        <w:t xml:space="preserve"> </w:t>
      </w:r>
      <w:r>
        <w:t xml:space="preserve">Jehoiakim’s indictment is strikingly material: he refused to pay wages, he used forced labor, he built lavishly for his own comfort while his workers went unpaid. Preachers who are uncomfortable with the economic specificity of the text tend to generalize it into abstract injunctions about</w:t>
      </w:r>
      <w:r>
        <w:t xml:space="preserve"> </w:t>
      </w:r>
      <w:r>
        <w:t xml:space="preserve">“seeking God’s priorities.”</w:t>
      </w:r>
      <w:r>
        <w:t xml:space="preserve"> </w:t>
      </w:r>
      <w:r>
        <w:t xml:space="preserve">This loses the text’s own edge. The specificity is the point — injustice is always concrete, always located in particular relationships, always involving particular people who are wronged by particular people with power. The sermon should retain that concreteness and press it into the congregation’s actual economic relationships.</w:t>
      </w:r>
    </w:p>
    <w:p>
      <w:pPr>
        <w:numPr>
          <w:ilvl w:val="0"/>
          <w:numId w:val="1002"/>
        </w:numPr>
      </w:pPr>
      <w:r>
        <w:rPr>
          <w:b/>
          <w:bCs/>
        </w:rPr>
        <w:t xml:space="preserve">Treating the chapter as primarily a lesson in civic leadership.</w:t>
      </w:r>
      <w:r>
        <w:t xml:space="preserve"> </w:t>
      </w:r>
      <w:r>
        <w:t xml:space="preserve">Jeremiah 22 is not principally about good governance — it is a prophetic indictment demonstrating God’s covenant sovereignty over human institutions. Framing it as</w:t>
      </w:r>
      <w:r>
        <w:t xml:space="preserve"> </w:t>
      </w:r>
      <w:r>
        <w:t xml:space="preserve">“principles for Christian leadership”</w:t>
      </w:r>
      <w:r>
        <w:t xml:space="preserve"> </w:t>
      </w:r>
      <w:r>
        <w:t xml:space="preserve">or</w:t>
      </w:r>
      <w:r>
        <w:t xml:space="preserve"> </w:t>
      </w:r>
      <w:r>
        <w:t xml:space="preserve">“what good leadership looks like”</w:t>
      </w:r>
      <w:r>
        <w:t xml:space="preserve"> </w:t>
      </w:r>
      <w:r>
        <w:t xml:space="preserve">domesticates the passage. The kings are not failing a leadership competency assessment; they are breaking covenant with the living God, and the consequence is national destruction. The sermon must preserve the theological register of the text.</w:t>
      </w:r>
    </w:p>
    <w:p>
      <w:pPr>
        <w:numPr>
          <w:ilvl w:val="0"/>
          <w:numId w:val="1002"/>
        </w:numPr>
      </w:pPr>
      <w:r>
        <w:rPr>
          <w:b/>
          <w:bCs/>
        </w:rPr>
        <w:t xml:space="preserve">Ignoring the Coniah/Matthew genealogy connection.</w:t>
      </w:r>
      <w:r>
        <w:t xml:space="preserve"> </w:t>
      </w:r>
      <w:r>
        <w:t xml:space="preserve">Many expository treatments of this chapter stop at verse 30 with the declaration of childlessness and treat it as a note of unrelieved doom. This misses the canonical resolution that Matthew 1 provides. The passage does not end in divine failure; it creates the precise prophetic conditions that the Incarnation answers. The preacher who fails to trace this connection leaves the congregation with a severed dynasty and no King — which is not the canonical ending of the story.</w:t>
      </w:r>
    </w:p>
    <w:p>
      <w:pPr>
        <w:numPr>
          <w:ilvl w:val="0"/>
          <w:numId w:val="1002"/>
        </w:numPr>
      </w:pPr>
      <w:r>
        <w:rPr>
          <w:b/>
          <w:bCs/>
        </w:rPr>
        <w:t xml:space="preserve">Failing to distinguish between the unconditional promise and its conditional administration.</w:t>
      </w:r>
      <w:r>
        <w:t xml:space="preserve"> </w:t>
      </w:r>
      <w:r>
        <w:t xml:space="preserve">Congregations shaped by popular evangelicalism often have a simplified view of biblical promises: God promised it, so it will happen, without remainder. Jeremiah 22 complicates this — not to create doubt about divine faithfulness but to demonstrate that God’s promises are administered through human covenant responsibility. The preacher should help the congregation hold both: the promise is sure; the administration is conditional; the failure of the human administrators does not annul the promise but does produce real consequences. This is mature covenantal thinking that the text is designed to produce.</w:t>
      </w:r>
    </w:p>
    <w:p>
      <w:pPr>
        <w:numPr>
          <w:ilvl w:val="0"/>
          <w:numId w:val="1002"/>
        </w:numPr>
      </w:pPr>
      <w:r>
        <w:rPr>
          <w:b/>
          <w:bCs/>
        </w:rPr>
        <w:t xml:space="preserve">Extracting the</w:t>
      </w:r>
      <w:r>
        <w:rPr>
          <w:b/>
          <w:bCs/>
        </w:rPr>
        <w:t xml:space="preserve"> </w:t>
      </w:r>
      <w:r>
        <w:rPr>
          <w:b/>
          <w:bCs/>
        </w:rPr>
        <w:t xml:space="preserve">“knowing God”</w:t>
      </w:r>
      <w:r>
        <w:rPr>
          <w:b/>
          <w:bCs/>
        </w:rPr>
        <w:t xml:space="preserve"> </w:t>
      </w:r>
      <w:r>
        <w:rPr>
          <w:b/>
          <w:bCs/>
        </w:rPr>
        <w:t xml:space="preserve">verse (v. 16) from its indicting context.</w:t>
      </w:r>
      <w:r>
        <w:t xml:space="preserve"> </w:t>
      </w:r>
      <w:r>
        <w:t xml:space="preserve">Verse 16 —</w:t>
      </w:r>
      <w:r>
        <w:t xml:space="preserve"> </w:t>
      </w:r>
      <w:r>
        <w:t xml:space="preserve">“Is not this to know me?”</w:t>
      </w:r>
      <w:r>
        <w:t xml:space="preserve"> </w:t>
      </w:r>
      <w:r>
        <w:t xml:space="preserve">— is regularly quoted in isolation as a positive definition of knowing God. Used this way, it becomes an inspirational invitation. In context, it is an accusatory question: Josiah knew God this way, and you, Jehoiakim, demonstrably do not. The verse derives its power from the contrast and from the indictment that surrounds it. Extracting it into a standalone inspirational claim defuses the very charge it is meant to land.</w:t>
      </w:r>
    </w:p>
    <w:p>
      <w:r>
        <w:pict>
          <v:rect style="width:0;height:1.5pt" o:hralign="center" o:hrstd="t" o:hr="t"/>
        </w:pict>
      </w:r>
    </w:p>
    <w:p>
      <w:pPr>
        <w:pStyle w:val="FirstParagraph"/>
      </w:pPr>
      <w:r>
        <w:rPr>
          <w:i/>
          <w:iCs/>
        </w:rPr>
        <w:t xml:space="preserve">Document generated per CLAUDE2.md framework. Filename: 24 Jeremiah 22.docx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2026-07-14T21:06:00Z</dcterms:created>
  <dcterms:modified xsi:type="dcterms:W3CDTF">2026-07-14T21:06:00Z</dcterms:modified>
</cp:coreProperties>
</file>

<file path=docProps/custom.xml><?xml version="1.0" encoding="utf-8"?>
<Properties xmlns="http://schemas.openxmlformats.org/officeDocument/2006/custom-properties" xmlns:vt="http://schemas.openxmlformats.org/officeDocument/2006/docPropsVTypes"/>
</file>